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39365" w14:textId="77777777" w:rsidR="00B5270B" w:rsidRDefault="005B3117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eastAsia="Arial Narrow" w:hAnsi="Arial Narrow" w:cs="Arial Narrow"/>
          <w:b/>
          <w:bCs/>
          <w:color w:val="7F0D00"/>
          <w:sz w:val="18"/>
          <w:szCs w:val="18"/>
          <w:u w:color="7F0D00"/>
        </w:rPr>
      </w:pPr>
      <w:r>
        <w:rPr>
          <w:rFonts w:ascii="Arial Narrow" w:eastAsia="Arial Narrow" w:hAnsi="Arial Narrow" w:cs="Arial Narrow"/>
          <w:b/>
          <w:bCs/>
          <w:noProof/>
          <w:color w:val="7F0D00"/>
          <w:sz w:val="18"/>
          <w:szCs w:val="18"/>
          <w:u w:color="7F0D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E83452" wp14:editId="142BF6D9">
                <wp:simplePos x="0" y="0"/>
                <wp:positionH relativeFrom="column">
                  <wp:posOffset>1704340</wp:posOffset>
                </wp:positionH>
                <wp:positionV relativeFrom="paragraph">
                  <wp:posOffset>125095</wp:posOffset>
                </wp:positionV>
                <wp:extent cx="4904740" cy="970915"/>
                <wp:effectExtent l="0" t="0" r="10160" b="635"/>
                <wp:wrapNone/>
                <wp:docPr id="1073741826" name="Shape 1073741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4740" cy="9709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1B2169" w14:textId="77777777" w:rsidR="00B5270B" w:rsidRDefault="002B625C">
                            <w:pPr>
                              <w:pStyle w:val="BodyA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44"/>
                                <w:szCs w:val="44"/>
                              </w:rPr>
                              <w:t>Rocky Mountain Tribal Leaders Council</w:t>
                            </w:r>
                          </w:p>
                          <w:p w14:paraId="0DDD9430" w14:textId="77777777" w:rsidR="00B5270B" w:rsidRDefault="002B625C">
                            <w:pPr>
                              <w:pStyle w:val="BodyA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88A9D27" w14:textId="078BD102" w:rsidR="00B5270B" w:rsidRPr="0083478E" w:rsidRDefault="00836A5B">
                            <w:pPr>
                              <w:pStyle w:val="BodyA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2929 3rd </w:t>
                            </w:r>
                            <w:r w:rsidRPr="0083478E">
                              <w:rPr>
                                <w:rFonts w:ascii="Times New Roman" w:hAnsi="Times New Roman"/>
                                <w:lang w:val="fr-FR"/>
                              </w:rPr>
                              <w:t>Avenue</w:t>
                            </w:r>
                            <w:r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 North</w:t>
                            </w:r>
                            <w:r w:rsidR="002B625C" w:rsidRPr="0083478E"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, Suite </w:t>
                            </w:r>
                            <w:r>
                              <w:rPr>
                                <w:rFonts w:ascii="Times New Roman" w:hAnsi="Times New Roman"/>
                                <w:lang w:val="fr-FR"/>
                              </w:rPr>
                              <w:t>30</w:t>
                            </w:r>
                            <w:r w:rsidR="002B625C" w:rsidRPr="0083478E">
                              <w:rPr>
                                <w:rFonts w:ascii="Times New Roman" w:hAnsi="Times New Roman"/>
                                <w:lang w:val="fr-FR"/>
                              </w:rPr>
                              <w:t>0, Billings, Montana 5910</w:t>
                            </w:r>
                            <w:r>
                              <w:rPr>
                                <w:rFonts w:ascii="Times New Roman" w:hAnsi="Times New Roman"/>
                                <w:lang w:val="fr-FR"/>
                              </w:rPr>
                              <w:t>1</w:t>
                            </w:r>
                          </w:p>
                          <w:p w14:paraId="48BB9EFC" w14:textId="77777777" w:rsidR="00B5270B" w:rsidRDefault="002B625C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Ph: (406) 252-2550</w:t>
                            </w:r>
                            <w:r w:rsidR="0083478E">
                              <w:rPr>
                                <w:rFonts w:ascii="Times New Roman" w:hAnsi="Times New Roman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Fax: (406) 254-6355</w:t>
                            </w:r>
                            <w:r w:rsidR="0083478E">
                              <w:rPr>
                                <w:rFonts w:ascii="Times New Roman" w:hAnsi="Times New Roman"/>
                              </w:rPr>
                              <w:t xml:space="preserve">    Web: www.rmtlc.org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E83452" id="Shape 1073741826" o:spid="_x0000_s1026" style="position:absolute;left:0;text-align:left;margin-left:134.2pt;margin-top:9.85pt;width:386.2pt;height:76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" filled="f" stroked="f" strokeweight="1pt">
                <v:stroke miterlimit="4"/>
                <v:textbox inset="0,0,0,0">
                  <w:txbxContent>
                    <w:p w14:paraId="4A1B2169" w14:textId="77777777" w:rsidR="00B5270B" w:rsidRDefault="002B625C">
                      <w:pPr>
                        <w:pStyle w:val="BodyA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44"/>
                          <w:szCs w:val="44"/>
                        </w:rPr>
                        <w:t>Rocky Mountain Tribal Leaders Council</w:t>
                      </w:r>
                    </w:p>
                    <w:p w14:paraId="0DDD9430" w14:textId="77777777" w:rsidR="00B5270B" w:rsidRDefault="002B625C">
                      <w:pPr>
                        <w:pStyle w:val="BodyA"/>
                        <w:jc w:val="center"/>
                        <w:rPr>
                          <w:rFonts w:ascii="Times New Roman" w:eastAsia="Times New Roman" w:hAnsi="Times New Roman" w:cs="Times New Roman"/>
                          <w:sz w:val="8"/>
                          <w:szCs w:val="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88A9D27" w14:textId="078BD102" w:rsidR="00B5270B" w:rsidRPr="0083478E" w:rsidRDefault="00836A5B">
                      <w:pPr>
                        <w:pStyle w:val="BodyA"/>
                        <w:jc w:val="center"/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lang w:val="fr-FR"/>
                        </w:rPr>
                        <w:t xml:space="preserve">2929 3rd </w:t>
                      </w:r>
                      <w:r w:rsidRPr="0083478E">
                        <w:rPr>
                          <w:rFonts w:ascii="Times New Roman" w:hAnsi="Times New Roman"/>
                          <w:lang w:val="fr-FR"/>
                        </w:rPr>
                        <w:t>Avenue</w:t>
                      </w:r>
                      <w:r>
                        <w:rPr>
                          <w:rFonts w:ascii="Times New Roman" w:hAnsi="Times New Roman"/>
                          <w:lang w:val="fr-FR"/>
                        </w:rPr>
                        <w:t xml:space="preserve"> North</w:t>
                      </w:r>
                      <w:r w:rsidR="002B625C" w:rsidRPr="0083478E">
                        <w:rPr>
                          <w:rFonts w:ascii="Times New Roman" w:hAnsi="Times New Roman"/>
                          <w:lang w:val="fr-FR"/>
                        </w:rPr>
                        <w:t xml:space="preserve">, Suite </w:t>
                      </w:r>
                      <w:r>
                        <w:rPr>
                          <w:rFonts w:ascii="Times New Roman" w:hAnsi="Times New Roman"/>
                          <w:lang w:val="fr-FR"/>
                        </w:rPr>
                        <w:t>30</w:t>
                      </w:r>
                      <w:r w:rsidR="002B625C" w:rsidRPr="0083478E">
                        <w:rPr>
                          <w:rFonts w:ascii="Times New Roman" w:hAnsi="Times New Roman"/>
                          <w:lang w:val="fr-FR"/>
                        </w:rPr>
                        <w:t>0, Billings, Montana 5910</w:t>
                      </w:r>
                      <w:r>
                        <w:rPr>
                          <w:rFonts w:ascii="Times New Roman" w:hAnsi="Times New Roman"/>
                          <w:lang w:val="fr-FR"/>
                        </w:rPr>
                        <w:t>1</w:t>
                      </w:r>
                    </w:p>
                    <w:p w14:paraId="48BB9EFC" w14:textId="77777777" w:rsidR="00B5270B" w:rsidRDefault="002B625C">
                      <w:pPr>
                        <w:pStyle w:val="BodyA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Ph: (406) 252-2550</w:t>
                      </w:r>
                      <w:r w:rsidR="0083478E">
                        <w:rPr>
                          <w:rFonts w:ascii="Times New Roman" w:hAnsi="Times New Roman"/>
                        </w:rPr>
                        <w:t xml:space="preserve">     </w:t>
                      </w:r>
                      <w:r>
                        <w:rPr>
                          <w:rFonts w:ascii="Times New Roman" w:hAnsi="Times New Roman"/>
                        </w:rPr>
                        <w:t>Fax: (406) 254-6355</w:t>
                      </w:r>
                      <w:r w:rsidR="0083478E">
                        <w:rPr>
                          <w:rFonts w:ascii="Times New Roman" w:hAnsi="Times New Roman"/>
                        </w:rPr>
                        <w:t xml:space="preserve">    Web: www.rmtlc.org</w:t>
                      </w:r>
                    </w:p>
                  </w:txbxContent>
                </v:textbox>
              </v:rect>
            </w:pict>
          </mc:Fallback>
        </mc:AlternateContent>
      </w:r>
      <w:r w:rsidR="00BE551C">
        <w:rPr>
          <w:rFonts w:ascii="Arial Narrow" w:eastAsia="Arial Narrow" w:hAnsi="Arial Narrow" w:cs="Arial Narrow"/>
          <w:b/>
          <w:bCs/>
          <w:noProof/>
          <w:color w:val="7F0D00"/>
          <w:sz w:val="18"/>
          <w:szCs w:val="18"/>
          <w:u w:color="7F0D00"/>
        </w:rPr>
        <w:drawing>
          <wp:anchor distT="0" distB="0" distL="114300" distR="114300" simplePos="0" relativeHeight="251660288" behindDoc="0" locked="0" layoutInCell="1" allowOverlap="1" wp14:anchorId="75A99A20" wp14:editId="068ABFC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24660" cy="1470660"/>
            <wp:effectExtent l="0" t="0" r="8890" b="0"/>
            <wp:wrapThrough wrapText="bothSides">
              <wp:wrapPolygon edited="0">
                <wp:start x="0" y="0"/>
                <wp:lineTo x="0" y="21264"/>
                <wp:lineTo x="21473" y="21264"/>
                <wp:lineTo x="21473" y="0"/>
                <wp:lineTo x="0" y="0"/>
              </wp:wrapPolygon>
            </wp:wrapThrough>
            <wp:docPr id="10737418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14706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36A82D9" w14:textId="77777777" w:rsidR="00B5270B" w:rsidRDefault="00B5270B">
      <w:pPr>
        <w:pStyle w:val="ReturnAddre"/>
        <w:widowControl/>
        <w:tabs>
          <w:tab w:val="left" w:pos="720"/>
          <w:tab w:val="left" w:pos="1440"/>
          <w:tab w:val="left" w:pos="2160"/>
          <w:tab w:val="left" w:pos="279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firstLine="720"/>
        <w:rPr>
          <w:rFonts w:ascii="Times New Roman" w:eastAsia="Times New Roman" w:hAnsi="Times New Roman" w:cs="Times New Roman"/>
          <w:u w:color="0432FE"/>
        </w:rPr>
      </w:pPr>
    </w:p>
    <w:p w14:paraId="082AB406" w14:textId="77777777" w:rsidR="00B5270B" w:rsidRDefault="00B5270B">
      <w:pPr>
        <w:pStyle w:val="BodyA"/>
        <w:rPr>
          <w:rFonts w:ascii="Times New Roman" w:eastAsia="Times New Roman" w:hAnsi="Times New Roman" w:cs="Times New Roman"/>
          <w:u w:color="0432FE"/>
        </w:rPr>
      </w:pPr>
    </w:p>
    <w:p w14:paraId="694900F3" w14:textId="77777777" w:rsidR="00B5270B" w:rsidRDefault="00B5270B">
      <w:pPr>
        <w:pStyle w:val="BodyA"/>
        <w:sectPr w:rsidR="00B5270B" w:rsidSect="0083478E">
          <w:headerReference w:type="default" r:id="rId8"/>
          <w:footerReference w:type="default" r:id="rId9"/>
          <w:pgSz w:w="12240" w:h="15840"/>
          <w:pgMar w:top="720" w:right="720" w:bottom="720" w:left="720" w:header="0" w:footer="0" w:gutter="0"/>
          <w:cols w:space="720"/>
          <w:docGrid w:linePitch="326"/>
        </w:sectPr>
      </w:pPr>
    </w:p>
    <w:p w14:paraId="30B66204" w14:textId="77777777" w:rsidR="00B5270B" w:rsidRDefault="00B5270B">
      <w:pPr>
        <w:pStyle w:val="BodyB"/>
        <w:rPr>
          <w:rFonts w:ascii="Cambria" w:eastAsia="Cambria" w:hAnsi="Cambria" w:cs="Cambria"/>
          <w:u w:color="0432FE"/>
        </w:rPr>
      </w:pPr>
    </w:p>
    <w:p w14:paraId="5FDAF0F8" w14:textId="77777777" w:rsidR="00B5270B" w:rsidRDefault="00B5270B">
      <w:pPr>
        <w:pStyle w:val="BodyB"/>
        <w:rPr>
          <w:rFonts w:ascii="Cambria" w:eastAsia="Cambria" w:hAnsi="Cambria" w:cs="Cambria"/>
          <w:u w:color="0432FE"/>
        </w:rPr>
      </w:pPr>
    </w:p>
    <w:p w14:paraId="6D5B38CD" w14:textId="77777777" w:rsidR="00B5270B" w:rsidRDefault="00B5270B">
      <w:pPr>
        <w:pStyle w:val="BodyB"/>
      </w:pPr>
    </w:p>
    <w:p w14:paraId="5F9F0117" w14:textId="77777777" w:rsidR="00B5270B" w:rsidRDefault="005B3117">
      <w:pPr>
        <w:pStyle w:val="Body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EBFC67" wp14:editId="5F3EBD5A">
                <wp:simplePos x="0" y="0"/>
                <wp:positionH relativeFrom="column">
                  <wp:posOffset>1693545</wp:posOffset>
                </wp:positionH>
                <wp:positionV relativeFrom="paragraph">
                  <wp:posOffset>53975</wp:posOffset>
                </wp:positionV>
                <wp:extent cx="5013325" cy="0"/>
                <wp:effectExtent l="0" t="0" r="0" b="0"/>
                <wp:wrapNone/>
                <wp:docPr id="1073741827" name="Shape 1073741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33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3D8DC" id="Shape 10737418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35pt,4.25pt" to="528.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" strokeweight=".5pt">
                <v:stroke miterlimit="4" joinstyle="miter"/>
              </v:line>
            </w:pict>
          </mc:Fallback>
        </mc:AlternateContent>
      </w:r>
      <w:r w:rsidR="00BE55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31FE8" wp14:editId="7E1BC492">
                <wp:simplePos x="0" y="0"/>
                <wp:positionH relativeFrom="column">
                  <wp:posOffset>1684655</wp:posOffset>
                </wp:positionH>
                <wp:positionV relativeFrom="paragraph">
                  <wp:posOffset>91440</wp:posOffset>
                </wp:positionV>
                <wp:extent cx="5023485" cy="9525"/>
                <wp:effectExtent l="0" t="0" r="24765" b="28575"/>
                <wp:wrapNone/>
                <wp:docPr id="1073741828" name="Shape 1073741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3485" cy="9525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9D3090" id="Shape 107374182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65pt,7.2pt" to="528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" strokeweight=".5pt">
                <v:stroke miterlimit="4" joinstyle="miter"/>
              </v:line>
            </w:pict>
          </mc:Fallback>
        </mc:AlternateContent>
      </w:r>
    </w:p>
    <w:p w14:paraId="71F9A97E" w14:textId="23EFBE69" w:rsidR="002B625C" w:rsidRDefault="002B625C" w:rsidP="002B625C">
      <w:pPr>
        <w:pStyle w:val="BodyB"/>
        <w:rPr>
          <w:sz w:val="32"/>
          <w:szCs w:val="32"/>
          <w:u w:val="single"/>
        </w:rPr>
      </w:pPr>
    </w:p>
    <w:p w14:paraId="2726F70C" w14:textId="61264235" w:rsidR="007E4B3E" w:rsidRDefault="00C63996" w:rsidP="00C63996">
      <w:pPr>
        <w:pStyle w:val="BodyB"/>
        <w:rPr>
          <w:sz w:val="28"/>
          <w:szCs w:val="28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63996">
        <w:rPr>
          <w:sz w:val="28"/>
          <w:szCs w:val="28"/>
          <w:u w:val="single"/>
        </w:rPr>
        <w:t>Resolution #</w:t>
      </w:r>
    </w:p>
    <w:p w14:paraId="13C6CB51" w14:textId="4C7290A8" w:rsidR="00C63996" w:rsidRDefault="00C63996" w:rsidP="00C63996">
      <w:pPr>
        <w:pStyle w:val="BodyB"/>
        <w:rPr>
          <w:sz w:val="28"/>
          <w:szCs w:val="28"/>
          <w:u w:val="single"/>
        </w:rPr>
      </w:pPr>
    </w:p>
    <w:p w14:paraId="3A8FAD51" w14:textId="38C7A860" w:rsidR="00C63996" w:rsidRPr="00FB0A81" w:rsidRDefault="00C63996" w:rsidP="00FB0A81">
      <w:pPr>
        <w:pStyle w:val="BodyB"/>
        <w:jc w:val="center"/>
        <w:rPr>
          <w:b/>
          <w:bCs/>
          <w:sz w:val="28"/>
          <w:szCs w:val="28"/>
        </w:rPr>
      </w:pPr>
      <w:r w:rsidRPr="00FB0A81">
        <w:rPr>
          <w:b/>
          <w:bCs/>
          <w:sz w:val="28"/>
          <w:szCs w:val="28"/>
        </w:rPr>
        <w:t xml:space="preserve">A RESOLUTION </w:t>
      </w:r>
      <w:r w:rsidR="0092773D">
        <w:rPr>
          <w:b/>
          <w:bCs/>
          <w:sz w:val="28"/>
          <w:szCs w:val="28"/>
        </w:rPr>
        <w:t>REQUESTING MANDATORY FUNDING FOR CONTRACT SUPPORT COSTS AND 105(L) LEASE AGREEMENTS</w:t>
      </w:r>
    </w:p>
    <w:p w14:paraId="0CF32544" w14:textId="77777777" w:rsidR="00842358" w:rsidRDefault="00842358" w:rsidP="00C63996">
      <w:pPr>
        <w:pStyle w:val="BodyB"/>
        <w:rPr>
          <w:sz w:val="28"/>
          <w:szCs w:val="28"/>
        </w:rPr>
      </w:pPr>
    </w:p>
    <w:p w14:paraId="4677E073" w14:textId="088EEFAC" w:rsidR="00C63996" w:rsidRDefault="0069424E" w:rsidP="00C63996">
      <w:pPr>
        <w:pStyle w:val="BodyB"/>
      </w:pPr>
      <w:r w:rsidRPr="0069424E">
        <w:rPr>
          <w:b/>
          <w:bCs/>
        </w:rPr>
        <w:t>WHEREAS</w:t>
      </w:r>
      <w:r w:rsidRPr="00C63996">
        <w:t>, the</w:t>
      </w:r>
      <w:r w:rsidR="00C63996">
        <w:t xml:space="preserve"> Rocky Mountain Tribal Leaders Council (</w:t>
      </w:r>
      <w:r w:rsidR="00956968">
        <w:t>T</w:t>
      </w:r>
      <w:r w:rsidR="00C63996">
        <w:t>LC) has been created for the express purpose of providing its member Tribes with a unified voice and collective organization to address issues of concern to the Tribes and Indian people; and</w:t>
      </w:r>
    </w:p>
    <w:p w14:paraId="26ED4836" w14:textId="77F7F57D" w:rsidR="00C63996" w:rsidRDefault="00C63996" w:rsidP="00C63996">
      <w:pPr>
        <w:pStyle w:val="BodyB"/>
      </w:pPr>
    </w:p>
    <w:p w14:paraId="7E91AD40" w14:textId="1F71D4E2" w:rsidR="00C63996" w:rsidRDefault="00144688" w:rsidP="00C63996">
      <w:pPr>
        <w:pStyle w:val="BodyB"/>
      </w:pPr>
      <w:r w:rsidRPr="0069424E">
        <w:rPr>
          <w:b/>
          <w:bCs/>
        </w:rPr>
        <w:t>WHEREAS</w:t>
      </w:r>
      <w:r w:rsidR="0069424E">
        <w:t xml:space="preserve"> the</w:t>
      </w:r>
      <w:r w:rsidR="00C63996">
        <w:t xml:space="preserve"> Board of Directors of the TLC consists of duly elected Tribal Chairs, Presidents, and Council Members who are fully authorized to represent their respective Tribes; and</w:t>
      </w:r>
    </w:p>
    <w:p w14:paraId="398AEA24" w14:textId="21453D8C" w:rsidR="00C63996" w:rsidRDefault="00C63996" w:rsidP="00C63996">
      <w:pPr>
        <w:pStyle w:val="BodyB"/>
      </w:pPr>
    </w:p>
    <w:p w14:paraId="19F51D9E" w14:textId="5E0FEFD2" w:rsidR="0069424E" w:rsidRDefault="0069424E" w:rsidP="00C63996">
      <w:pPr>
        <w:pStyle w:val="BodyB"/>
      </w:pPr>
      <w:r w:rsidRPr="0069424E">
        <w:rPr>
          <w:b/>
          <w:bCs/>
        </w:rPr>
        <w:t>WHEREAS</w:t>
      </w:r>
      <w:r>
        <w:t>, as</w:t>
      </w:r>
      <w:r w:rsidR="00C63996">
        <w:t xml:space="preserve"> a manifestation of their solemn duty, the Tribal governments actively engage in policy formation</w:t>
      </w:r>
      <w:r>
        <w:t xml:space="preserve"> on any matters that affect the Tribes and reservations; and</w:t>
      </w:r>
    </w:p>
    <w:p w14:paraId="5C8A109F" w14:textId="77777777" w:rsidR="0069424E" w:rsidRDefault="0069424E" w:rsidP="00C63996">
      <w:pPr>
        <w:pStyle w:val="BodyB"/>
      </w:pPr>
    </w:p>
    <w:p w14:paraId="0422D834" w14:textId="0580BCD3" w:rsidR="0069424E" w:rsidRDefault="00BA7BA4" w:rsidP="00C63996">
      <w:pPr>
        <w:pStyle w:val="BodyB"/>
      </w:pPr>
      <w:r w:rsidRPr="0069424E">
        <w:rPr>
          <w:b/>
          <w:bCs/>
        </w:rPr>
        <w:t>WHEREAS</w:t>
      </w:r>
      <w:r w:rsidR="0069424E">
        <w:t xml:space="preserve"> the TLC is dedicated to assisting and promoti</w:t>
      </w:r>
      <w:r w:rsidR="00FB0A81">
        <w:t>ng</w:t>
      </w:r>
      <w:r w:rsidR="0069424E">
        <w:t xml:space="preserve"> the health needs and concerns of Indian people; and</w:t>
      </w:r>
    </w:p>
    <w:p w14:paraId="1EE8D0BE" w14:textId="77777777" w:rsidR="0069424E" w:rsidRDefault="0069424E" w:rsidP="00C63996">
      <w:pPr>
        <w:pStyle w:val="BodyB"/>
      </w:pPr>
    </w:p>
    <w:p w14:paraId="7856EEDC" w14:textId="6E0ED730" w:rsidR="00C63996" w:rsidRDefault="0069424E" w:rsidP="00C63996">
      <w:pPr>
        <w:pStyle w:val="BodyB"/>
      </w:pPr>
      <w:r w:rsidRPr="0069424E">
        <w:rPr>
          <w:b/>
          <w:bCs/>
        </w:rPr>
        <w:t>WHEREAS</w:t>
      </w:r>
      <w:r>
        <w:t xml:space="preserve">, </w:t>
      </w:r>
      <w:r w:rsidR="00144688">
        <w:t>unique to the Bureau of Indian Affairs and the Indian Health Service, Tribes participating in Indian Self Determination Act (ISDEAA) activities incur co</w:t>
      </w:r>
      <w:r w:rsidR="00F61A40">
        <w:t>sts</w:t>
      </w:r>
      <w:r w:rsidR="00144688">
        <w:t xml:space="preserve"> that should not be borne by tribes but should be fully reimbursable </w:t>
      </w:r>
      <w:r w:rsidR="00F61A40">
        <w:t>to</w:t>
      </w:r>
      <w:r w:rsidR="00144688">
        <w:t xml:space="preserve"> tribes </w:t>
      </w:r>
      <w:r w:rsidR="00F61A40">
        <w:t xml:space="preserve">when they </w:t>
      </w:r>
      <w:r w:rsidR="00144688">
        <w:t>carry out Federal programs under the authority of ISDEAA</w:t>
      </w:r>
      <w:r w:rsidR="00F61A40">
        <w:t>; and</w:t>
      </w:r>
    </w:p>
    <w:p w14:paraId="789B1BB6" w14:textId="71831E29" w:rsidR="00922087" w:rsidRDefault="00922087" w:rsidP="00C63996">
      <w:pPr>
        <w:pStyle w:val="BodyB"/>
      </w:pPr>
    </w:p>
    <w:p w14:paraId="174100B5" w14:textId="2E78D139" w:rsidR="00581F1B" w:rsidRDefault="00BA7BA4" w:rsidP="00C63996">
      <w:pPr>
        <w:pStyle w:val="BodyB"/>
      </w:pPr>
      <w:r w:rsidRPr="00C25BE5">
        <w:rPr>
          <w:b/>
          <w:bCs/>
        </w:rPr>
        <w:t>WHEREAS</w:t>
      </w:r>
      <w:r w:rsidR="00372504">
        <w:t xml:space="preserve"> </w:t>
      </w:r>
      <w:r w:rsidR="00144688">
        <w:t xml:space="preserve">Contract support costs are categories of costs </w:t>
      </w:r>
      <w:r w:rsidR="00F61A40">
        <w:t xml:space="preserve">necessary </w:t>
      </w:r>
      <w:r w:rsidR="00144688">
        <w:t>to support tribal administration of 638 programs (Indirect and Direct Costs) and tribes should not have to bear the burden of these costs should the Federal Government no</w:t>
      </w:r>
      <w:r w:rsidR="00B90A6A">
        <w:t>t</w:t>
      </w:r>
      <w:r w:rsidR="00144688">
        <w:t xml:space="preserve"> fully fund </w:t>
      </w:r>
      <w:r w:rsidR="00B90A6A">
        <w:t>these costs</w:t>
      </w:r>
      <w:r w:rsidR="00F61A40">
        <w:t>; and</w:t>
      </w:r>
      <w:r w:rsidR="00B90A6A">
        <w:t xml:space="preserve"> </w:t>
      </w:r>
    </w:p>
    <w:p w14:paraId="2526DF39" w14:textId="77777777" w:rsidR="00581F1B" w:rsidRDefault="00581F1B" w:rsidP="00C63996">
      <w:pPr>
        <w:pStyle w:val="BodyB"/>
      </w:pPr>
    </w:p>
    <w:p w14:paraId="240BD414" w14:textId="4EBC9140" w:rsidR="00C25BE5" w:rsidRDefault="00BA7BA4" w:rsidP="00B90A6A">
      <w:r w:rsidRPr="00C25BE5">
        <w:rPr>
          <w:b/>
          <w:bCs/>
        </w:rPr>
        <w:t>WHEREAS</w:t>
      </w:r>
      <w:r w:rsidR="00C25BE5">
        <w:rPr>
          <w:rFonts w:ascii="Calibri" w:hAnsi="Calibri" w:cs="Calibri"/>
        </w:rPr>
        <w:t xml:space="preserve"> </w:t>
      </w:r>
      <w:r w:rsidR="00B90A6A">
        <w:t xml:space="preserve">105(l) Lease Agreements are entered into </w:t>
      </w:r>
      <w:r w:rsidR="00F61A40">
        <w:t xml:space="preserve">with the Federal government </w:t>
      </w:r>
      <w:r w:rsidR="00B90A6A">
        <w:t>to reimburse tribes for the costs t</w:t>
      </w:r>
      <w:r w:rsidR="00F61A40">
        <w:t>ribes</w:t>
      </w:r>
      <w:r w:rsidR="00B90A6A">
        <w:t xml:space="preserve"> incur when facilities are no longer adequate and</w:t>
      </w:r>
      <w:r w:rsidR="00EB2588">
        <w:t xml:space="preserve"> in</w:t>
      </w:r>
      <w:r w:rsidR="00B90A6A">
        <w:t xml:space="preserve"> need </w:t>
      </w:r>
      <w:r w:rsidR="00EB2588">
        <w:t xml:space="preserve">of </w:t>
      </w:r>
      <w:r w:rsidR="00B90A6A">
        <w:t xml:space="preserve">replacement, but the Federal Government is not replacing these facilities </w:t>
      </w:r>
      <w:r w:rsidR="00F61A40">
        <w:t>when needed</w:t>
      </w:r>
      <w:r w:rsidR="00B90A6A">
        <w:t>.  The replacement of aging</w:t>
      </w:r>
      <w:r w:rsidR="00EB2588">
        <w:t xml:space="preserve"> and dilapidated buildings</w:t>
      </w:r>
      <w:r w:rsidR="00B90A6A">
        <w:t xml:space="preserve"> is often necessary to maintain compliance to quality facility standards required by the Federal Government.  </w:t>
      </w:r>
      <w:r w:rsidR="00EB2588">
        <w:t xml:space="preserve">These standards must be met, or tribes run the risk of not being able to capture reimbursement to keep their ISDEAA programs operating and serving their tribal populations. </w:t>
      </w:r>
      <w:r w:rsidR="00B90A6A">
        <w:t xml:space="preserve"> </w:t>
      </w:r>
    </w:p>
    <w:p w14:paraId="0E3456FF" w14:textId="77777777" w:rsidR="00B90A6A" w:rsidRPr="00C25BE5" w:rsidRDefault="00B90A6A" w:rsidP="00B90A6A"/>
    <w:p w14:paraId="47308A1C" w14:textId="4AF27B23" w:rsidR="00FB0A81" w:rsidRPr="00C25BE5" w:rsidRDefault="00C25BE5" w:rsidP="00FB0A81">
      <w:r w:rsidRPr="00CB43FE">
        <w:rPr>
          <w:b/>
          <w:bCs/>
        </w:rPr>
        <w:t>NOW, THEREFORE, BE IT RESOLVED</w:t>
      </w:r>
      <w:r w:rsidR="00FB0A81">
        <w:t xml:space="preserve">, </w:t>
      </w:r>
      <w:r w:rsidR="00EB2588">
        <w:t xml:space="preserve">the </w:t>
      </w:r>
      <w:r w:rsidR="00F61A40">
        <w:t>TLC</w:t>
      </w:r>
      <w:r w:rsidR="00EB2588">
        <w:t xml:space="preserve"> requests the Office of Management and Budget to fully fund the Indian Health </w:t>
      </w:r>
      <w:r w:rsidR="00F61A40">
        <w:t>Service</w:t>
      </w:r>
      <w:r w:rsidR="00EB2588">
        <w:t xml:space="preserve"> and Bureau of Indian Affairs full mandatory funding </w:t>
      </w:r>
      <w:r w:rsidR="00F61A40">
        <w:t xml:space="preserve">in order that they </w:t>
      </w:r>
      <w:r w:rsidR="003B481C">
        <w:t xml:space="preserve">in turn </w:t>
      </w:r>
      <w:r w:rsidR="00F61A40">
        <w:t>may</w:t>
      </w:r>
      <w:r w:rsidR="00EB2588">
        <w:t xml:space="preserve"> reimburse tribes fully </w:t>
      </w:r>
      <w:r w:rsidR="00F61A40">
        <w:t xml:space="preserve">their </w:t>
      </w:r>
      <w:r w:rsidR="00EB2588">
        <w:t xml:space="preserve">annual </w:t>
      </w:r>
      <w:r w:rsidR="00F61A40">
        <w:t xml:space="preserve">CSC </w:t>
      </w:r>
      <w:r w:rsidR="00EB2588">
        <w:t>costs</w:t>
      </w:r>
      <w:r w:rsidR="003B481C">
        <w:t xml:space="preserve"> and facility renovation/construction costs</w:t>
      </w:r>
      <w:r w:rsidR="00EB2588">
        <w:t xml:space="preserve"> incurred by the</w:t>
      </w:r>
      <w:r w:rsidR="00F61A40">
        <w:t>m</w:t>
      </w:r>
      <w:r w:rsidR="00EB2588">
        <w:t xml:space="preserve"> in the ongoing administration of their respective ISDEAA programs.  Further that these mandatory funds do not reduce the existing Federal appropriat</w:t>
      </w:r>
      <w:r w:rsidR="003B481C">
        <w:t xml:space="preserve">ions </w:t>
      </w:r>
      <w:r w:rsidR="00EB2588">
        <w:t xml:space="preserve">of either federal agency used </w:t>
      </w:r>
      <w:r w:rsidR="003B481C">
        <w:t>in s</w:t>
      </w:r>
      <w:r w:rsidR="00EB2588">
        <w:t xml:space="preserve">upport </w:t>
      </w:r>
      <w:r w:rsidR="003B481C">
        <w:t xml:space="preserve">of </w:t>
      </w:r>
      <w:r w:rsidR="00F61A40">
        <w:t xml:space="preserve">the delivery of program services.  </w:t>
      </w:r>
    </w:p>
    <w:sectPr w:rsidR="00FB0A81" w:rsidRPr="00C25BE5" w:rsidSect="005B3117">
      <w:type w:val="continuous"/>
      <w:pgSz w:w="12240" w:h="15840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3ABF9" w14:textId="77777777" w:rsidR="007F653D" w:rsidRDefault="007F653D">
      <w:r>
        <w:separator/>
      </w:r>
    </w:p>
  </w:endnote>
  <w:endnote w:type="continuationSeparator" w:id="0">
    <w:p w14:paraId="2523D54C" w14:textId="77777777" w:rsidR="007F653D" w:rsidRDefault="007F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AC63D" w14:textId="77777777" w:rsidR="00B5270B" w:rsidRDefault="00B5270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48D97" w14:textId="77777777" w:rsidR="007F653D" w:rsidRDefault="007F653D">
      <w:r>
        <w:separator/>
      </w:r>
    </w:p>
  </w:footnote>
  <w:footnote w:type="continuationSeparator" w:id="0">
    <w:p w14:paraId="4E396F7F" w14:textId="77777777" w:rsidR="007F653D" w:rsidRDefault="007F6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A503" w14:textId="77777777" w:rsidR="00B5270B" w:rsidRDefault="00B5270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6640C"/>
    <w:multiLevelType w:val="hybridMultilevel"/>
    <w:tmpl w:val="551C8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0B"/>
    <w:rsid w:val="000273D0"/>
    <w:rsid w:val="000411DA"/>
    <w:rsid w:val="00092C0A"/>
    <w:rsid w:val="00130088"/>
    <w:rsid w:val="0013283F"/>
    <w:rsid w:val="00137D58"/>
    <w:rsid w:val="00144688"/>
    <w:rsid w:val="00184B88"/>
    <w:rsid w:val="001B6B1F"/>
    <w:rsid w:val="002128EA"/>
    <w:rsid w:val="002B625C"/>
    <w:rsid w:val="003332A3"/>
    <w:rsid w:val="00372504"/>
    <w:rsid w:val="00374B75"/>
    <w:rsid w:val="00390DDD"/>
    <w:rsid w:val="003B4787"/>
    <w:rsid w:val="003B481C"/>
    <w:rsid w:val="0040378F"/>
    <w:rsid w:val="00455545"/>
    <w:rsid w:val="004867FF"/>
    <w:rsid w:val="004A19E1"/>
    <w:rsid w:val="004A5544"/>
    <w:rsid w:val="004B7847"/>
    <w:rsid w:val="004C4B20"/>
    <w:rsid w:val="0057271A"/>
    <w:rsid w:val="00581F1B"/>
    <w:rsid w:val="005B3117"/>
    <w:rsid w:val="005C407B"/>
    <w:rsid w:val="005D28B3"/>
    <w:rsid w:val="005D3471"/>
    <w:rsid w:val="00632917"/>
    <w:rsid w:val="00687B91"/>
    <w:rsid w:val="0069424E"/>
    <w:rsid w:val="007078A8"/>
    <w:rsid w:val="0073571C"/>
    <w:rsid w:val="00762D76"/>
    <w:rsid w:val="00767DD9"/>
    <w:rsid w:val="007A788E"/>
    <w:rsid w:val="007D1DC6"/>
    <w:rsid w:val="007E4B3E"/>
    <w:rsid w:val="007F653D"/>
    <w:rsid w:val="0083478E"/>
    <w:rsid w:val="00836A5B"/>
    <w:rsid w:val="00842358"/>
    <w:rsid w:val="00884081"/>
    <w:rsid w:val="009023AC"/>
    <w:rsid w:val="00904A2C"/>
    <w:rsid w:val="00922087"/>
    <w:rsid w:val="0092773D"/>
    <w:rsid w:val="00956968"/>
    <w:rsid w:val="00A17012"/>
    <w:rsid w:val="00B32580"/>
    <w:rsid w:val="00B5270B"/>
    <w:rsid w:val="00B8366A"/>
    <w:rsid w:val="00B90A6A"/>
    <w:rsid w:val="00BA7BA4"/>
    <w:rsid w:val="00BE551C"/>
    <w:rsid w:val="00BE59AE"/>
    <w:rsid w:val="00C25BE5"/>
    <w:rsid w:val="00C63996"/>
    <w:rsid w:val="00C8470D"/>
    <w:rsid w:val="00C90468"/>
    <w:rsid w:val="00C9635C"/>
    <w:rsid w:val="00CB43FE"/>
    <w:rsid w:val="00CD5FBB"/>
    <w:rsid w:val="00CF2D7F"/>
    <w:rsid w:val="00D048DE"/>
    <w:rsid w:val="00D2309F"/>
    <w:rsid w:val="00D361CF"/>
    <w:rsid w:val="00D73876"/>
    <w:rsid w:val="00DA5F3B"/>
    <w:rsid w:val="00DA7698"/>
    <w:rsid w:val="00E23223"/>
    <w:rsid w:val="00E45AE0"/>
    <w:rsid w:val="00EA5B34"/>
    <w:rsid w:val="00EB2188"/>
    <w:rsid w:val="00EB2588"/>
    <w:rsid w:val="00F61A40"/>
    <w:rsid w:val="00F647D2"/>
    <w:rsid w:val="00F8200B"/>
    <w:rsid w:val="00FB0A81"/>
    <w:rsid w:val="00FB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B2579"/>
  <w15:docId w15:val="{6ABC332D-7233-49C1-918C-3FC6CD0B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ReturnAddre">
    <w:name w:val="Return Addre"/>
    <w:pPr>
      <w:widowControl w:val="0"/>
      <w:spacing w:line="270" w:lineRule="auto"/>
      <w:jc w:val="both"/>
    </w:pPr>
    <w:rPr>
      <w:rFonts w:ascii="Arial" w:eastAsia="Arial" w:hAnsi="Arial" w:cs="Arial"/>
      <w:color w:val="000000"/>
      <w:sz w:val="16"/>
      <w:szCs w:val="16"/>
      <w:u w:color="000000"/>
    </w:r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D36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 Snell</dc:creator>
  <cp:lastModifiedBy>Dorothy Dupree</cp:lastModifiedBy>
  <cp:revision>3</cp:revision>
  <dcterms:created xsi:type="dcterms:W3CDTF">2022-01-19T05:35:00Z</dcterms:created>
  <dcterms:modified xsi:type="dcterms:W3CDTF">2022-01-19T05:36:00Z</dcterms:modified>
</cp:coreProperties>
</file>